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Tisková zpráva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Europoslanci schválili nová pravidla pro umělou inteligenci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i w:val="1"/>
          <w:rtl w:val="0"/>
        </w:rPr>
        <w:t xml:space="preserve">Praha, 14. března 2024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Europoslanci včera schválili nová pravidla pro fungování umělé inteligence, jejichž cílem je poskytnout jasné požadavky a povinnosti týkající se jejího použití. Kromě toho stanoví pravidla, která budou chránit základní práva obyvatel před rychle se rozvíjející umělou inteligencí a také zjednoduší vývoj, provoz a volný pohyb AI služeb a produktů na vnitřním trhu EU. Aby AI akt vstoupil v platnost, musí jej ještě formálně schválit Rada EU, složená z členských států.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V případě finálního schválení Aktu o umělé inteligenci stanoví přísnou regulaci technologií používaných pro účely kategorizace osob podle náboženského vyznání nebo sexuální orientace a zakázáno by mělo být rozpoznávání emocí pomocí systémů AI na pracovišti či třeba použití umělé inteligence pro predikování trestných činů.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i w:val="1"/>
          <w:color w:val="3c4043"/>
          <w:highlight w:val="white"/>
          <w:rtl w:val="0"/>
        </w:rPr>
        <w:t xml:space="preserve">„</w:t>
      </w:r>
      <w:r w:rsidDel="00000000" w:rsidR="00000000" w:rsidRPr="00000000">
        <w:rPr>
          <w:i w:val="1"/>
          <w:rtl w:val="0"/>
        </w:rPr>
        <w:t xml:space="preserve">Pokud chceme držet krok s rychle se vyvíjejícími technologiemi, musíme si být vědomi všech příležitostí i rizik, která s jejich využíváním vyvstanou. Česko se během svého předsednictví zasloužilo o jednomyslnou podporu členských zemí pro vznik Aktu o umělé inteligenci a sehrálo důležitou roli v navazujících jednáních s Evropským parlamentem za účasti Evropské komise</w:t>
      </w:r>
      <w:r w:rsidDel="00000000" w:rsidR="00000000" w:rsidRPr="00000000">
        <w:rPr>
          <w:b w:val="1"/>
          <w:i w:val="1"/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”</w:t>
      </w:r>
      <w:r w:rsidDel="00000000" w:rsidR="00000000" w:rsidRPr="00000000">
        <w:rPr>
          <w:rtl w:val="0"/>
        </w:rPr>
        <w:t xml:space="preserve"> uvedl vicepremiér pro digitalizaci Ivan Bartoš.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Kromě řady regulací je Akt o umělé inteligenci i součástí širšího balíku opatření na podporu rozvoje umělé inteligence, který zahrnuje i tzv. AI inovační balíček nebo Koordinovaný plán v oblasti umělé inteligence, které posílí zavádění, investice a inovace v oblasti umělé inteligence v celé EU. První povinnosti vyplývající z Aktu o umělé inteligenci by mohly začít platit již v roce 2024 a všechny povinnosti pak dva roky po zveřejnění nařízení.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